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2024-08-12</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
          <w:bCs/>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
          <w:bCs/>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
          <w:iCs/>
        </w:rPr>
        <w:t xml:space="preserve">features</w:t>
      </w:r>
      <w:r>
        <w:t xml:space="preserve">,</w:t>
      </w:r>
      <w:r>
        <w:t xml:space="preserve"> </w:t>
      </w:r>
      <w:r>
        <w:rPr>
          <w:i/>
          <w:iCs/>
        </w:rPr>
        <w:t xml:space="preserve">limits</w:t>
      </w:r>
      <w:r>
        <w:t xml:space="preserve">, and</w:t>
      </w:r>
      <w:r>
        <w:t xml:space="preserve"> </w:t>
      </w:r>
      <w:r>
        <w:rPr>
          <w:i/>
          <w:iCs/>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1"/>
        </w:numPr>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23" w:name="fig-feasibility"/>
          <w:p>
            <w:pPr>
              <w:pStyle w:val="Compact"/>
              <w:jc w:val="center"/>
            </w:pPr>
            <w:r>
              <w:drawing>
                <wp:inline>
                  <wp:extent cx="5334000" cy="4124472"/>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
          <w:bCs/>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
          <w:bCs/>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
          <w:iCs/>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
          <w:iCs/>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
          <w:iCs/>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
          <w:iCs/>
        </w:rPr>
        <w:t xml:space="preserve">sensu</w:t>
      </w:r>
      <w:r>
        <w:t xml:space="preserve"> </w:t>
      </w:r>
      <w:r>
        <w:t xml:space="preserve">[22]</w:t>
      </w:r>
      <w:r>
        <w:t xml:space="preserve">).</w:t>
      </w:r>
    </w:p>
    <w:p>
      <w:pPr>
        <w:pStyle w:val="BodyText"/>
      </w:pPr>
      <w:r>
        <w:rPr>
          <w:b/>
          <w:bCs/>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[22]</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[23]</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[24]</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[25]</w:t>
      </w:r>
      <w:r>
        <w:t xml:space="preserve"> </w:t>
      </w:r>
      <w:r>
        <w:t xml:space="preserve">is also an interesting consideration. Finally the environment itself is also imposing energy costs on the predator. Basically the ideas presented in</w:t>
      </w:r>
      <w:r>
        <w:t xml:space="preserve"> </w:t>
      </w:r>
      <w:r>
        <w:t xml:space="preserve">[26]</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 name="Picture"/>
                  <a:graphic>
                    <a:graphicData uri="http://schemas.openxmlformats.org/drawingml/2006/picture">
                      <pic:pic>
                        <pic:nvPicPr>
                          <pic:cNvPr descr="/opt/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1 -The anatomy of a food web</w:t>
            </w:r>
          </w:p>
        </w:tc>
      </w:tr>
      <w:tr>
        <w:trPr>
          <w:cantSplit/>
        </w:trPr>
        <w:tc>
          <w:tcPr>
            <w:tcMar>
              <w:top w:w="108" w:type="dxa"/>
              <w:bottom w:w="108" w:type="dxa"/>
            </w:tcMar>
          </w:tcPr>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 Energy v</w:t>
            </w:r>
            <w:r>
              <w:t xml:space="preserve"> </w:t>
            </w:r>
            <w:r>
              <w:t xml:space="preserve">‘</w:t>
            </w:r>
            <w:r>
              <w:t xml:space="preserve">feasibility</w:t>
            </w:r>
            <w:r>
              <w:t xml:space="preserve">’</w:t>
            </w:r>
            <w:r>
              <w:t xml:space="preserve"> </w:t>
            </w:r>
            <w:r>
              <w:t xml:space="preserve">being the underlying driver but also determinant of the</w:t>
            </w:r>
            <w:r>
              <w:t xml:space="preserve"> </w:t>
            </w:r>
            <w:r>
              <w:t xml:space="preserve">‘</w:t>
            </w:r>
            <w:r>
              <w:t xml:space="preserve">final</w:t>
            </w:r>
            <w:r>
              <w:t xml:space="preserve">’</w:t>
            </w:r>
            <w:r>
              <w:t xml:space="preserve"> </w:t>
            </w:r>
            <w:r>
              <w:t xml:space="preserve">network - this is what is going to influence the ways in which we are defining the network as well as how we can use them. i.e this may seem very fundamental but is something that is overlooked…</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[27]</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b/>
                <w:bCs/>
              </w:rPr>
              <w:t xml:space="preserve">potential</w:t>
            </w:r>
            <w:r>
              <w:t xml:space="preserve"> </w:t>
            </w:r>
            <w:r>
              <w:t xml:space="preserve">or</w:t>
            </w:r>
            <w:r>
              <w:t xml:space="preserve"> </w:t>
            </w:r>
            <w:r>
              <w:rPr>
                <w:b/>
                <w:bCs/>
              </w:rPr>
              <w:t xml:space="preserve">realised feeding links</w:t>
            </w:r>
            <w:r>
              <w:t xml:space="preserve">),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[28]</w:t>
            </w:r>
            <w:r>
              <w:t xml:space="preserve"> </w:t>
            </w:r>
            <w:r>
              <w:t xml:space="preserve">and in cases where the adult and larval stages of a species have different diets it may make ecological sense</w:t>
            </w:r>
            <w:r>
              <w:t xml:space="preserve"> </w:t>
            </w:r>
            <w:r>
              <w:t xml:space="preserve">[29]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[30]</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[31]</w:t>
            </w:r>
            <w:r>
              <w:t xml:space="preserve">. How we specify links will influence the resulting structure of the network - and the inferences we will make thereof. For example taking a food web that consists of links representing</w:t>
            </w:r>
            <w:r>
              <w:t xml:space="preserve"> </w:t>
            </w:r>
            <w:r>
              <w:rPr>
                <w:i/>
                <w:iCs/>
              </w:rPr>
              <w:t xml:space="preserve">potential</w:t>
            </w:r>
            <w:r>
              <w:t xml:space="preserve"> </w:t>
            </w:r>
            <w:r>
              <w:t xml:space="preserve">feeding links between species will be meaningless if you are interested in understanding</w:t>
            </w:r>
            <w:r>
              <w:t xml:space="preserve"> </w:t>
            </w:r>
            <w:r>
              <w:rPr>
                <w:i/>
                <w:iCs/>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32]</w:t>
            </w:r>
            <w:r>
              <w:t xml:space="preserve"> </w:t>
            </w:r>
            <w:r>
              <w:t xml:space="preserve">or continuous measurements</w:t>
            </w:r>
            <w:r>
              <w:t xml:space="preserve"> </w:t>
            </w:r>
            <w:r>
              <w:t xml:space="preserve">[which quantifies the strength of of an interaction, 33]</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w:t>
            </w:r>
            <w:r>
              <w:t xml:space="preserve"> </w:t>
            </w:r>
            <w:r>
              <w:t xml:space="preserve">[22]</w:t>
            </w:r>
            <w:r>
              <w:t xml:space="preserve">.</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[34,35]</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[36,37]</w:t>
      </w:r>
      <w:r>
        <w:t xml:space="preserve">, using pairwise interactions to understand species distributions</w:t>
      </w:r>
      <w:r>
        <w:t xml:space="preserve"> </w:t>
      </w:r>
      <w:r>
        <w:t xml:space="preserve">[38]</w:t>
      </w:r>
      <w:r>
        <w:t xml:space="preserve"> </w:t>
      </w:r>
      <w:r>
        <w:t xml:space="preserve">or even co-extinction risk</w:t>
      </w:r>
      <w:r>
        <w:t xml:space="preserve"> </w:t>
      </w:r>
      <w:r>
        <w:t xml:space="preserve">[39]</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[40]</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[28]</w:t>
      </w:r>
      <w:r>
        <w:t xml:space="preserve"> </w:t>
      </w:r>
      <w:r>
        <w:t xml:space="preserve">or cascade</w:t>
      </w:r>
      <w:r>
        <w:t xml:space="preserve"> </w:t>
      </w:r>
      <w:r>
        <w:t xml:space="preserve">[41]</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[42]</w:t>
      </w:r>
      <w:r>
        <w:t xml:space="preserve"> </w:t>
      </w:r>
      <w:r>
        <w:t xml:space="preserve">or trait hierarchy</w:t>
      </w:r>
      <w:r>
        <w:t xml:space="preserve"> </w:t>
      </w:r>
      <w:r>
        <w:t xml:space="preserve">[43]</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44]</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Nodes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[45]</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trophic species</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species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co-occurence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lockText"/>
      </w:pPr>
      <w:r>
        <w:t xml:space="preserve">We need to be aware of the parameter space that is possible given a specific definition of a network and operate within those parameters.</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4"/>
        </w:numPr>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[30,46]</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[46]</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[47]</w:t>
      </w:r>
      <w:r>
        <w:t xml:space="preserve"> </w:t>
      </w:r>
      <w:r>
        <w:t xml:space="preserve">but maybe not exactly in this context but vaguely adjacent.</w:t>
      </w:r>
    </w:p>
    <w:p>
      <w:pPr>
        <w:pStyle w:val="Compact"/>
        <w:numPr>
          <w:ilvl w:val="1"/>
          <w:numId w:val="1007"/>
        </w:numPr>
      </w:pPr>
      <w:r>
        <w:t xml:space="preserve">I think this is sort of the crux of the argument presented in</w:t>
      </w:r>
      <w:r>
        <w:t xml:space="preserve"> </w:t>
      </w:r>
      <w:r>
        <w:t xml:space="preserve">[48]</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[49]</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[50]</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0"/>
        </w:numPr>
      </w:pPr>
      <w:r>
        <w:t xml:space="preserve">The</w:t>
      </w:r>
      <w:r>
        <w:t xml:space="preserve"> </w:t>
      </w:r>
      <w:r>
        <w:t xml:space="preserve">[51]</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[52]</w:t>
      </w:r>
      <w:r>
        <w:t xml:space="preserve"> </w:t>
      </w:r>
      <w:r>
        <w:t xml:space="preserve">and that we should also start thinking about the interplay of time and space</w:t>
      </w:r>
      <w:r>
        <w:t xml:space="preserve"> </w:t>
      </w:r>
      <w:r>
        <w:t xml:space="preserve">[53]</w:t>
      </w:r>
      <w:r>
        <w:t xml:space="preserve">. Although deciding exactly what measure might actually be driving differences between local networks and the regional metaweb might not be that simple</w:t>
      </w:r>
      <w:r>
        <w:t xml:space="preserve"> </w:t>
      </w:r>
      <w:r>
        <w:t xml:space="preserve">[54]</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49" w:name="references"/>
    <w:p>
      <w:pPr>
        <w:pStyle w:val="Heading1"/>
      </w:pPr>
      <w:r>
        <w:t xml:space="preserve">References</w:t>
      </w:r>
    </w:p>
    <w:bookmarkStart w:id="148"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
          <w:iCs/>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
          <w:iCs/>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
          <w:iCs/>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
          <w:iCs/>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
          <w:iCs/>
        </w:rPr>
        <w:t xml:space="preserve">Annual Review of Ecology, Evolution, and Systematics</w:t>
      </w:r>
      <w:r>
        <w:t xml:space="preserve"> </w:t>
      </w:r>
      <w:r>
        <w:t xml:space="preserve">36, 419–444</w:t>
      </w:r>
    </w:p>
    <w:bookmarkEnd w:id="84"/>
    <w:bookmarkStart w:id="85" w:name="X41e90cde2344b49d6920f05c9ac1f9a5dcba573"/>
    <w:p>
      <w:pPr>
        <w:pStyle w:val="Bibliography"/>
      </w:pPr>
      <w:r>
        <w:t xml:space="preserve">22.</w:t>
      </w:r>
      <w:r>
        <w:t xml:space="preserve"> </w:t>
      </w:r>
      <w:r>
        <w:t xml:space="preserve">	</w:t>
      </w:r>
      <w:r>
        <w:t xml:space="preserve">Banville, F.</w:t>
      </w:r>
      <w:r>
        <w:t xml:space="preserve"> </w:t>
      </w:r>
      <w:r>
        <w:rPr>
          <w:i/>
          <w:iCs/>
        </w:rPr>
        <w:t xml:space="preserve">et al.</w:t>
      </w:r>
      <w:r>
        <w:t xml:space="preserve"> </w:t>
      </w:r>
      <w:r>
        <w:t xml:space="preserve">(2024) Deciphering probabilistic species interaction networks</w:t>
      </w:r>
    </w:p>
    <w:bookmarkEnd w:id="85"/>
    <w:bookmarkStart w:id="87" w:name="ref-beckermanForagingBiologyPredicts2006"/>
    <w:p>
      <w:pPr>
        <w:pStyle w:val="Bibliography"/>
      </w:pPr>
      <w:r>
        <w:t xml:space="preserve">23.</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86">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87"/>
    <w:bookmarkStart w:id="89" w:name="ref-woottonModularTheoryTrophic2023"/>
    <w:p>
      <w:pPr>
        <w:pStyle w:val="Bibliography"/>
      </w:pPr>
      <w:r>
        <w:t xml:space="preserve">24.</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88">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89"/>
    <w:bookmarkStart w:id="91" w:name="X0c2a588d4c668aa5d8efe715af4b32a452d7f80"/>
    <w:p>
      <w:pPr>
        <w:pStyle w:val="Bibliography"/>
      </w:pPr>
      <w:r>
        <w:t xml:space="preserve">25.</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90">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1"/>
    <w:bookmarkStart w:id="93" w:name="ref-cherifEnvironmentRescueCan2024"/>
    <w:p>
      <w:pPr>
        <w:pStyle w:val="Bibliography"/>
      </w:pPr>
      <w:r>
        <w:t xml:space="preserve">26.</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2">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3"/>
    <w:bookmarkStart w:id="95" w:name="ref-poisotDescribeUnderstandPredict2016"/>
    <w:p>
      <w:pPr>
        <w:pStyle w:val="Bibliography"/>
      </w:pPr>
      <w:r>
        <w:t xml:space="preserve">27.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94">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95"/>
    <w:bookmarkStart w:id="97" w:name="ref-williamsSimpleRulesYield2000"/>
    <w:p>
      <w:pPr>
        <w:pStyle w:val="Bibliography"/>
      </w:pPr>
      <w:r>
        <w:t xml:space="preserve">28.</w:t>
      </w:r>
      <w:r>
        <w:t xml:space="preserve"> </w:t>
      </w:r>
      <w:r>
        <w:t xml:space="preserve">	</w:t>
      </w:r>
      <w:r>
        <w:t xml:space="preserve">Williams, R.J. and Martinez, N.D. (2000)</w:t>
      </w:r>
      <w:r>
        <w:t xml:space="preserve"> </w:t>
      </w:r>
      <w:hyperlink r:id="rId96">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97"/>
    <w:bookmarkStart w:id="99" w:name="X1e400912f73fb757a731e54197f38b81e74f066"/>
    <w:p>
      <w:pPr>
        <w:pStyle w:val="Bibliography"/>
      </w:pPr>
      <w:r>
        <w:t xml:space="preserve">29.</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98">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99"/>
    <w:bookmarkStart w:id="101" w:name="ref-pringleUntanglingFoodWebs2020"/>
    <w:p>
      <w:pPr>
        <w:pStyle w:val="Bibliography"/>
      </w:pPr>
      <w:r>
        <w:t xml:space="preserve">30.</w:t>
      </w:r>
      <w:r>
        <w:t xml:space="preserve"> </w:t>
      </w:r>
      <w:r>
        <w:t xml:space="preserve">	</w:t>
      </w:r>
      <w:r>
        <w:t xml:space="preserve">Pringle, R.M. (2020)</w:t>
      </w:r>
      <w:r>
        <w:t xml:space="preserve"> </w:t>
      </w:r>
      <w:hyperlink r:id="rId100">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101"/>
    <w:bookmarkStart w:id="103" w:name="Xe227781537312aad81566d289906b7942bbcf13"/>
    <w:p>
      <w:pPr>
        <w:pStyle w:val="Bibliography"/>
      </w:pPr>
      <w:r>
        <w:t xml:space="preserve">31.</w:t>
      </w:r>
      <w:r>
        <w:t xml:space="preserve"> </w:t>
      </w:r>
      <w:r>
        <w:t xml:space="preserve">	</w:t>
      </w:r>
      <w:r>
        <w:t xml:space="preserve">Lindeman, R.L. (1942)</w:t>
      </w:r>
      <w:r>
        <w:t xml:space="preserve"> </w:t>
      </w:r>
      <w:hyperlink r:id="rId102">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103"/>
    <w:bookmarkStart w:id="105" w:name="Xaad5d089781464e09d30bec824bd68c468804d7"/>
    <w:p>
      <w:pPr>
        <w:pStyle w:val="Bibliography"/>
      </w:pPr>
      <w:r>
        <w:t xml:space="preserve">32.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04">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105"/>
    <w:bookmarkStart w:id="107" w:name="ref-berlowInteractionStrengthsFood2004"/>
    <w:p>
      <w:pPr>
        <w:pStyle w:val="Bibliography"/>
      </w:pPr>
      <w:r>
        <w:t xml:space="preserve">33.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106">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107"/>
    <w:bookmarkStart w:id="109" w:name="ref-proulxNetworkThinkingEcology2005"/>
    <w:p>
      <w:pPr>
        <w:pStyle w:val="Bibliography"/>
      </w:pPr>
      <w:r>
        <w:t xml:space="preserve">34.</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108">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109"/>
    <w:bookmarkStart w:id="111" w:name="X539896ce86e228708f5963ceeaf0e82711f0c07"/>
    <w:p>
      <w:pPr>
        <w:pStyle w:val="Bibliography"/>
      </w:pPr>
      <w:r>
        <w:t xml:space="preserve">35.</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110">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111"/>
    <w:bookmarkStart w:id="113" w:name="ref-dunneCompilationNetworkAnalyses2008"/>
    <w:p>
      <w:pPr>
        <w:pStyle w:val="Bibliography"/>
      </w:pPr>
      <w:r>
        <w:t xml:space="preserve">36.</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12">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13"/>
    <w:bookmarkStart w:id="115" w:name="ref-yeakelCollapseEcologicalNetwork2014"/>
    <w:p>
      <w:pPr>
        <w:pStyle w:val="Bibliography"/>
      </w:pPr>
      <w:r>
        <w:t xml:space="preserve">37.</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14">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15"/>
    <w:bookmarkStart w:id="117" w:name="X8f3d1de04516835fd1376e2647a281b763af4fc"/>
    <w:p>
      <w:pPr>
        <w:pStyle w:val="Bibliography"/>
      </w:pPr>
      <w:r>
        <w:t xml:space="preserve">38.</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16">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17"/>
    <w:bookmarkStart w:id="119" w:name="ref-dunnSixthMassCoextinction2009"/>
    <w:p>
      <w:pPr>
        <w:pStyle w:val="Bibliography"/>
      </w:pPr>
      <w:r>
        <w:t xml:space="preserve">39.</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18">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19"/>
    <w:bookmarkStart w:id="121" w:name="ref-caronTraitmatchingModelsPredict2024"/>
    <w:p>
      <w:pPr>
        <w:pStyle w:val="Bibliography"/>
      </w:pPr>
      <w:r>
        <w:t xml:space="preserve">40.</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20">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1"/>
    <w:bookmarkStart w:id="122" w:name="ref-cohenCommunityFoodWebs1990"/>
    <w:p>
      <w:pPr>
        <w:pStyle w:val="Bibliography"/>
      </w:pPr>
      <w:r>
        <w:t xml:space="preserve">41.</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22"/>
    <w:bookmarkStart w:id="124" w:name="Xb1d8b6b275822be1886d160023287af73cce966"/>
    <w:p>
      <w:pPr>
        <w:pStyle w:val="Bibliography"/>
      </w:pPr>
      <w:r>
        <w:t xml:space="preserve">42.</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23">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24"/>
    <w:bookmarkStart w:id="126" w:name="X0fb50f1746fa9d2b24f89ed5bfe6ae1a2f58cc2"/>
    <w:p>
      <w:pPr>
        <w:pStyle w:val="Bibliography"/>
      </w:pPr>
      <w:r>
        <w:t xml:space="preserve">43.</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5">
        <w:r>
          <w:rPr>
            <w:rStyle w:val="Hyperlink"/>
          </w:rPr>
          <w:t xml:space="preserve">A framework for reconstructing ancient food webs using functional trait data</w:t>
        </w:r>
      </w:hyperlink>
      <w:r>
        <w:t xml:space="preserve">bioRxiv, 2024.01.30.578036</w:t>
      </w:r>
    </w:p>
    <w:bookmarkEnd w:id="126"/>
    <w:bookmarkStart w:id="128" w:name="ref-poisotSpeciesWhyEcological2015"/>
    <w:p>
      <w:pPr>
        <w:pStyle w:val="Bibliography"/>
      </w:pPr>
      <w:r>
        <w:t xml:space="preserve">44.</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27">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28"/>
    <w:bookmarkStart w:id="130" w:name="X148151be55fae469550d414afe81ac309261681"/>
    <w:p>
      <w:pPr>
        <w:pStyle w:val="Bibliography"/>
      </w:pPr>
      <w:r>
        <w:t xml:space="preserve">45.</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29">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30"/>
    <w:bookmarkStart w:id="132" w:name="ref-pringleResolvingFoodWebStructure2020"/>
    <w:p>
      <w:pPr>
        <w:pStyle w:val="Bibliography"/>
      </w:pPr>
      <w:r>
        <w:t xml:space="preserve">46.</w:t>
      </w:r>
      <w:r>
        <w:t xml:space="preserve"> </w:t>
      </w:r>
      <w:r>
        <w:t xml:space="preserve">	</w:t>
      </w:r>
      <w:r>
        <w:t xml:space="preserve">Pringle, R.M. and Hutchinson, M.C. (2020)</w:t>
      </w:r>
      <w:r>
        <w:t xml:space="preserve"> </w:t>
      </w:r>
      <w:hyperlink r:id="rId131">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32"/>
    <w:bookmarkStart w:id="134" w:name="ref-berlowGoldilocksFactorFood2008"/>
    <w:p>
      <w:pPr>
        <w:pStyle w:val="Bibliography"/>
      </w:pPr>
      <w:r>
        <w:t xml:space="preserve">47.</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33">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34"/>
    <w:bookmarkStart w:id="136" w:name="ref-brimacombeApplyingMethodIts2024"/>
    <w:p>
      <w:pPr>
        <w:pStyle w:val="Bibliography"/>
      </w:pPr>
      <w:r>
        <w:t xml:space="preserve">48.</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35">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6"/>
    <w:bookmarkStart w:id="138" w:name="X023758d2a089016cd8f0c9d2421079cf7d062ff"/>
    <w:p>
      <w:pPr>
        <w:pStyle w:val="Bibliography"/>
      </w:pPr>
      <w:r>
        <w:t xml:space="preserve">49.</w:t>
      </w:r>
      <w:r>
        <w:t xml:space="preserve"> </w:t>
      </w:r>
      <w:r>
        <w:t xml:space="preserve">	</w:t>
      </w:r>
      <w:r>
        <w:t xml:space="preserve">Poisot, T. (2023)</w:t>
      </w:r>
      <w:r>
        <w:t xml:space="preserve"> </w:t>
      </w:r>
      <w:hyperlink r:id="rId137">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38"/>
    <w:bookmarkStart w:id="140" w:name="ref-beckerOptimisingPredictiveModels2022"/>
    <w:p>
      <w:pPr>
        <w:pStyle w:val="Bibliography"/>
      </w:pPr>
      <w:r>
        <w:t xml:space="preserve">50.</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39">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40"/>
    <w:bookmarkStart w:id="142" w:name="ref-terryFindingMissingLinks2020"/>
    <w:p>
      <w:pPr>
        <w:pStyle w:val="Bibliography"/>
      </w:pPr>
      <w:r>
        <w:t xml:space="preserve">51.</w:t>
      </w:r>
      <w:r>
        <w:t xml:space="preserve"> </w:t>
      </w:r>
      <w:r>
        <w:t xml:space="preserve">	</w:t>
      </w:r>
      <w:r>
        <w:t xml:space="preserve">Terry, J.C.D. and Lewis, O.T. (2020)</w:t>
      </w:r>
      <w:r>
        <w:t xml:space="preserve"> </w:t>
      </w:r>
      <w:hyperlink r:id="rId141">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42"/>
    <w:bookmarkStart w:id="144" w:name="ref-fortinNetworkEcologyDynamic2021"/>
    <w:p>
      <w:pPr>
        <w:pStyle w:val="Bibliography"/>
      </w:pPr>
      <w:r>
        <w:t xml:space="preserve">52.</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43">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44"/>
    <w:bookmarkStart w:id="145" w:name="ref-estayEditorialPatternsProcesses2023"/>
    <w:p>
      <w:pPr>
        <w:pStyle w:val="Bibliography"/>
      </w:pPr>
      <w:r>
        <w:t xml:space="preserve">53.</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5"/>
    <w:bookmarkStart w:id="147" w:name="ref-saraviaEcologicalNetworkAssembly2022"/>
    <w:p>
      <w:pPr>
        <w:pStyle w:val="Bibliography"/>
      </w:pPr>
      <w:r>
        <w:t xml:space="preserve">54.</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6">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7"/>
    <w:bookmarkEnd w:id="148"/>
    <w:bookmarkEnd w:id="1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4" Target="https://doi.org/10" TargetMode="External" /><Relationship Type="http://schemas.openxmlformats.org/officeDocument/2006/relationships/hyperlink" Id="rId98" Target="https://doi.org/10.1002/ecy.2523" TargetMode="External" /><Relationship Type="http://schemas.openxmlformats.org/officeDocument/2006/relationships/hyperlink" Id="rId141" Target="https://doi.org/10.1002/ecy.3047" TargetMode="External" /><Relationship Type="http://schemas.openxmlformats.org/officeDocument/2006/relationships/hyperlink" Id="rId139"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8"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6" Target="https://doi.org/10.1038/35004572" TargetMode="External" /><Relationship Type="http://schemas.openxmlformats.org/officeDocument/2006/relationships/hyperlink" Id="rId90"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6"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3" Target="https://doi.org/10.1073/pnas.0800967105" TargetMode="External" /><Relationship Type="http://schemas.openxmlformats.org/officeDocument/2006/relationships/hyperlink" Id="rId114"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43"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5"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8" Target="https://doi.org/10.1111/1365-2435.13954" TargetMode="External" /><Relationship Type="http://schemas.openxmlformats.org/officeDocument/2006/relationships/hyperlink" Id="rId146" Target="https://doi.org/10.1111/1365-2656.13652" TargetMode="External" /><Relationship Type="http://schemas.openxmlformats.org/officeDocument/2006/relationships/hyperlink" Id="rId116" Target="https://doi.org/10.1111/2041-210X.12180" TargetMode="External" /><Relationship Type="http://schemas.openxmlformats.org/officeDocument/2006/relationships/hyperlink" Id="rId123"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7"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20" Target="https://doi.org/10.1111/geb.13807" TargetMode="External" /><Relationship Type="http://schemas.openxmlformats.org/officeDocument/2006/relationships/hyperlink" Id="rId106"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7" Target="https://doi.org/10.1111/oik.01719" TargetMode="External" /><Relationship Type="http://schemas.openxmlformats.org/officeDocument/2006/relationships/hyperlink" Id="rId131"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5" Target="https://doi.org/10.13140/RG.2.2.22076.65927" TargetMode="External" /><Relationship Type="http://schemas.openxmlformats.org/officeDocument/2006/relationships/hyperlink" Id="rId112"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10" Target="https://doi.org/10.1371/journal.pbio.3002068" TargetMode="External" /><Relationship Type="http://schemas.openxmlformats.org/officeDocument/2006/relationships/hyperlink" Id="rId129" Target="https://doi.org/10.1371/journal.pone.0038295" TargetMode="External" /><Relationship Type="http://schemas.openxmlformats.org/officeDocument/2006/relationships/hyperlink" Id="rId100" Target="https://doi.org/10.1515/9780691195322-020" TargetMode="External" /><Relationship Type="http://schemas.openxmlformats.org/officeDocument/2006/relationships/hyperlink" Id="rId102" Target="https://doi.org/10.2307/1930126" TargetMode="External" /><Relationship Type="http://schemas.openxmlformats.org/officeDocument/2006/relationships/hyperlink" Id="rId94"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4" Target="https://doi.org/10" TargetMode="External" /><Relationship Type="http://schemas.openxmlformats.org/officeDocument/2006/relationships/hyperlink" Id="rId98" Target="https://doi.org/10.1002/ecy.2523" TargetMode="External" /><Relationship Type="http://schemas.openxmlformats.org/officeDocument/2006/relationships/hyperlink" Id="rId141" Target="https://doi.org/10.1002/ecy.3047" TargetMode="External" /><Relationship Type="http://schemas.openxmlformats.org/officeDocument/2006/relationships/hyperlink" Id="rId139"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8"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6" Target="https://doi.org/10.1038/35004572" TargetMode="External" /><Relationship Type="http://schemas.openxmlformats.org/officeDocument/2006/relationships/hyperlink" Id="rId90"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6"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3" Target="https://doi.org/10.1073/pnas.0800967105" TargetMode="External" /><Relationship Type="http://schemas.openxmlformats.org/officeDocument/2006/relationships/hyperlink" Id="rId114" Target="https://doi.org/10.1073/pnas.1408471111" TargetMode="External" /><Relationship Type="http://schemas.openxmlformats.org/officeDocument/2006/relationships/hyperlink" Id="rId118" Target="https://doi.org/10.1098/rspb.2009.0413" TargetMode="External" /><Relationship Type="http://schemas.openxmlformats.org/officeDocument/2006/relationships/hyperlink" Id="rId143"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5"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8" Target="https://doi.org/10.1111/1365-2435.13954" TargetMode="External" /><Relationship Type="http://schemas.openxmlformats.org/officeDocument/2006/relationships/hyperlink" Id="rId146" Target="https://doi.org/10.1111/1365-2656.13652" TargetMode="External" /><Relationship Type="http://schemas.openxmlformats.org/officeDocument/2006/relationships/hyperlink" Id="rId116" Target="https://doi.org/10.1111/2041-210X.12180" TargetMode="External" /><Relationship Type="http://schemas.openxmlformats.org/officeDocument/2006/relationships/hyperlink" Id="rId123"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7"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2"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20" Target="https://doi.org/10.1111/geb.13807" TargetMode="External" /><Relationship Type="http://schemas.openxmlformats.org/officeDocument/2006/relationships/hyperlink" Id="rId106"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7" Target="https://doi.org/10.1111/oik.01719" TargetMode="External" /><Relationship Type="http://schemas.openxmlformats.org/officeDocument/2006/relationships/hyperlink" Id="rId131"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5" Target="https://doi.org/10.13140/RG.2.2.22076.65927" TargetMode="External" /><Relationship Type="http://schemas.openxmlformats.org/officeDocument/2006/relationships/hyperlink" Id="rId112"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10" Target="https://doi.org/10.1371/journal.pbio.3002068" TargetMode="External" /><Relationship Type="http://schemas.openxmlformats.org/officeDocument/2006/relationships/hyperlink" Id="rId129" Target="https://doi.org/10.1371/journal.pone.0038295" TargetMode="External" /><Relationship Type="http://schemas.openxmlformats.org/officeDocument/2006/relationships/hyperlink" Id="rId100" Target="https://doi.org/10.1515/9780691195322-020" TargetMode="External" /><Relationship Type="http://schemas.openxmlformats.org/officeDocument/2006/relationships/hyperlink" Id="rId102" Target="https://doi.org/10.2307/1930126" TargetMode="External" /><Relationship Type="http://schemas.openxmlformats.org/officeDocument/2006/relationships/hyperlink" Id="rId94"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2024-08-12T10:09:51Z</dcterms:created>
  <dcterms:modified xsi:type="dcterms:W3CDTF">2024-08-12T10:09:51Z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2024-08-12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